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1A1610"/>
  <w:body>
    <w:p>
      <w:pPr>
        <w:spacing w:after="100"/>
      </w:pPr>
    </w:p>
    <w:p>
      <w:pPr>
        <w:jc w:val="center"/>
      </w:pPr>
      <w:r>
        <w:rPr>
          <w:rFonts w:ascii="Palatino Linotype" w:cs="Palatino Linotype" w:eastAsia="Palatino Linotype" w:hAnsi="Palatino Linotype"/>
          <w:b/>
          <w:bCs/>
          <w:color w:val="C4A040"/>
          <w:spacing w:val="40"/>
          <w:sz w:val="22"/>
          <w:szCs w:val="22"/>
        </w:rPr>
        <w:t xml:space="preserve">FICHA CURATORIAL</w:t>
      </w:r>
    </w:p>
    <w:p>
      <w:pPr>
        <w:pBdr>
          <w:bottom w:val="single" w:color="C4A040" w:sz="6" w:space="1"/>
        </w:pBdr>
        <w:spacing w:after="200" w:before="100"/>
      </w:pPr>
    </w:p>
    <w:p>
      <w:pPr>
        <w:spacing w:after="60" w:before="100"/>
        <w:jc w:val="center"/>
      </w:pPr>
      <w:r>
        <w:rPr>
          <w:rFonts w:ascii="Palatino Linotype" w:cs="Palatino Linotype" w:eastAsia="Palatino Linotype" w:hAnsi="Palatino Linotype"/>
          <w:b/>
          <w:bCs/>
          <w:i/>
          <w:iCs/>
          <w:color w:val="FFFFFF"/>
          <w:sz w:val="30"/>
          <w:szCs w:val="30"/>
        </w:rPr>
        <w:t xml:space="preserve">El Abismo de los 99 Sufijos de Dios</w:t>
      </w:r>
    </w:p>
    <w:p>
      <w:pPr>
        <w:spacing w:after="300"/>
        <w:jc w:val="center"/>
      </w:pPr>
      <w:r>
        <w:rPr>
          <w:rFonts w:ascii="Palatino Linotype" w:cs="Palatino Linotype" w:eastAsia="Palatino Linotype" w:hAnsi="Palatino Linotype"/>
          <w:color w:val="C4A040"/>
          <w:sz w:val="18"/>
          <w:szCs w:val="18"/>
        </w:rPr>
        <w:t xml:space="preserve">AFME-2026-008 · Corpus AFME</w:t>
      </w:r>
    </w:p>
    <w:p>
      <w:pPr>
        <w:pBdr>
          <w:top w:val="single" w:color="C4A040" w:sz="4" w:space="8"/>
          <w:bottom w:val="single" w:color="C4A040" w:sz="4" w:space="8"/>
          <w:left w:val="single" w:color="C4A040" w:sz="4" w:space="8"/>
          <w:right w:val="single" w:color="C4A040" w:sz="4" w:space="8"/>
        </w:pBdr>
        <w:shd w:fill="1A1610" w:val="clear"/>
        <w:spacing w:after="300"/>
        <w:jc w:val="center"/>
      </w:pPr>
      <w:r>
        <w:drawing>
          <wp:inline distT="0" distB="0" distL="0" distR="0">
            <wp:extent cx="3810000" cy="5076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10000" cy="5076825"/>
                    </a:xfrm>
                    <a:prstGeom prst="rect">
                      <a:avLst/>
                    </a:prstGeom>
                  </pic:spPr>
                </pic:pic>
              </a:graphicData>
            </a:graphic>
          </wp:inline>
        </w:drawing>
      </w:r>
    </w:p>
    <w:p>
      <w:pPr>
        <w:spacing w:after="120" w:before="200"/>
      </w:pPr>
      <w:r>
        <w:rPr>
          <w:rFonts w:ascii="Palatino Linotype" w:cs="Palatino Linotype" w:eastAsia="Palatino Linotype" w:hAnsi="Palatino Linotype"/>
          <w:b/>
          <w:bCs/>
          <w:color w:val="C4A040"/>
          <w:spacing w:val="20"/>
          <w:sz w:val="20"/>
          <w:szCs w:val="20"/>
        </w:rPr>
        <w:t xml:space="preserve">DATOS TÉCNICOS</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600"/>
        <w:gridCol w:w="5800"/>
      </w:tblGrid>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Título</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El Abismo de los 99 Sufijos de Dios</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Clave de catálogo</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AFME-2026-008</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Autor</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Adolfo Fareet Mondragón Echeverría</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Año</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2026</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Técnica</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Papiro sobre lienzo, acrílico y aplicación de oro</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Dimensiones</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40 × 60 cm</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Ubicación</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Storage · Antiques · Arts, Local Y-5, Planta Alta, Centro Comercial Interlomas, Huixquilucan</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Serie</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Corpus AFME — Sistema Mondragón</w:t>
            </w:r>
          </w:p>
        </w:tc>
      </w:tr>
    </w:tbl>
    <w:p>
      <w:pPr>
        <w:spacing w:after="120" w:before="300"/>
      </w:pPr>
      <w:r>
        <w:rPr>
          <w:rFonts w:ascii="Palatino Linotype" w:cs="Palatino Linotype" w:eastAsia="Palatino Linotype" w:hAnsi="Palatino Linotype"/>
          <w:b/>
          <w:bCs/>
          <w:color w:val="C4A040"/>
          <w:spacing w:val="20"/>
          <w:sz w:val="20"/>
          <w:szCs w:val="20"/>
        </w:rPr>
        <w:t xml:space="preserve">TEXTO CURATORIAL</w:t>
      </w:r>
    </w:p>
    <w:p>
      <w:pPr>
        <w:spacing w:after="160"/>
        <w:jc w:val="both"/>
      </w:pPr>
      <w:r>
        <w:rPr>
          <w:rFonts w:ascii="Palatino Linotype" w:cs="Palatino Linotype" w:eastAsia="Palatino Linotype" w:hAnsi="Palatino Linotype"/>
          <w:color w:val="FFFFFF"/>
          <w:sz w:val="20"/>
          <w:szCs w:val="20"/>
        </w:rPr>
        <w:t xml:space="preserve">El Abismo de los 99 Sufijos de Dios presenta, al centro de la composición, un rectángulo de papiro ennegrecido — vacío, opaco, irreductible — enmarcado por un cerco de escritura manuscrita que discurre en cuatro tramos continuos alrededor del umbral. La escritura no ilumina el vacío que rodea: lo custodia. Alrededor, el campo se abre en gesto expresivo — blanco quebrado, negro escurrido, motas de oro y bermellón — como el residuo visible de un proceso que ya ocurrió y cuya huella es todo lo que puede mostrarse.</w:t>
      </w:r>
    </w:p>
    <w:p>
      <w:pPr>
        <w:spacing w:after="160"/>
        <w:jc w:val="both"/>
      </w:pPr>
      <w:r>
        <w:rPr>
          <w:rFonts w:ascii="Palatino Linotype" w:cs="Palatino Linotype" w:eastAsia="Palatino Linotype" w:hAnsi="Palatino Linotype"/>
          <w:color w:val="FFFFFF"/>
          <w:sz w:val="20"/>
          <w:szCs w:val="20"/>
        </w:rPr>
        <w:t xml:space="preserve">El título invoca los noventa y nueve sufijos — cifra que dialoga con las tradiciones de nombres divinos múltiples y con la propia arquitectura numérica del Sistema Mondragón, donde ningún nombre agota lo nombrado. El papiro, soporte arcaico de la palabra sagrada, se vuelve aquí superficie de un lenguaje que rodea sin penetrar: el abismo permanece legible solo en su borde, nunca en su centro.</w:t>
      </w:r>
    </w:p>
    <w:p>
      <w:pPr>
        <w:spacing w:after="160"/>
        <w:jc w:val="both"/>
      </w:pPr>
      <w:r>
        <w:rPr>
          <w:rFonts w:ascii="Palatino Linotype" w:cs="Palatino Linotype" w:eastAsia="Palatino Linotype" w:hAnsi="Palatino Linotype"/>
          <w:color w:val="FFFFFF"/>
          <w:sz w:val="20"/>
          <w:szCs w:val="20"/>
        </w:rPr>
        <w:t xml:space="preserve">La aplicación de oro, discreta y puntual, actúa como señal de lo que trasciende el registro de la mano: no decora, sino que marca los puntos donde el texto humano roza el nombre inefable. La obra se inscribe en el Corpus AFME como una meditación material sobre el límite entre lo que puede decirse y lo que solo puede enmarcarse.</w:t>
      </w:r>
    </w:p>
    <w:p>
      <w:pPr>
        <w:spacing w:after="120" w:before="200"/>
      </w:pPr>
      <w:r>
        <w:rPr>
          <w:rFonts w:ascii="Palatino Linotype" w:cs="Palatino Linotype" w:eastAsia="Palatino Linotype" w:hAnsi="Palatino Linotype"/>
          <w:b/>
          <w:bCs/>
          <w:color w:val="C4A040"/>
          <w:spacing w:val="20"/>
          <w:sz w:val="20"/>
          <w:szCs w:val="20"/>
        </w:rPr>
        <w:t xml:space="preserve">CLASIFICACIÓN SISTEMA MONDRAGÓN</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2600"/>
        <w:gridCol w:w="5800"/>
      </w:tblGrid>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Clase geométrica</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T · Triángulo · Azufre (por confirmar con el autor)</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Paleta</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Negro papiro, blanco roto, oro, bermellón sobre crema</w:t>
            </w:r>
          </w:p>
        </w:tc>
      </w:tr>
      <w:tr>
        <w:tc>
          <w:tcPr>
            <w:tcW w:type="dxa" w:w="2600"/>
            <w:shd w:fill="1A1610" w:val="clear"/>
            <w:tcMar>
              <w:top w:type="dxa" w:w="80"/>
              <w:left w:type="dxa" w:w="120"/>
              <w:bottom w:type="dxa" w:w="80"/>
              <w:right w:type="dxa" w:w="80"/>
            </w:tcMar>
            <w:vAlign w:val="center"/>
          </w:tcPr>
          <w:p>
            <w:r>
              <w:rPr>
                <w:rFonts w:ascii="Palatino Linotype" w:cs="Palatino Linotype" w:eastAsia="Palatino Linotype" w:hAnsi="Palatino Linotype"/>
                <w:b/>
                <w:bCs/>
                <w:color w:val="C4A040"/>
                <w:sz w:val="18"/>
                <w:szCs w:val="18"/>
              </w:rPr>
              <w:t xml:space="preserve">Relación numérica</w:t>
            </w:r>
          </w:p>
        </w:tc>
        <w:tc>
          <w:tcPr>
            <w:tcW w:type="dxa" w:w="5800"/>
            <w:shd w:fill="1A1610" w:val="clear"/>
            <w:tcMar>
              <w:top w:type="dxa" w:w="80"/>
              <w:left w:type="dxa" w:w="120"/>
              <w:bottom w:type="dxa" w:w="80"/>
              <w:right w:type="dxa" w:w="80"/>
            </w:tcMar>
            <w:vAlign w:val="center"/>
          </w:tcPr>
          <w:p>
            <w:r>
              <w:rPr>
                <w:rFonts w:ascii="Palatino Linotype" w:cs="Palatino Linotype" w:eastAsia="Palatino Linotype" w:hAnsi="Palatino Linotype"/>
                <w:color w:val="FFFFFF"/>
                <w:sz w:val="18"/>
                <w:szCs w:val="18"/>
              </w:rPr>
              <w:t xml:space="preserve">99 sufijos — en diálogo con el marco de 216 (6³) del Sistema Mondragón</w:t>
            </w:r>
          </w:p>
        </w:tc>
      </w:tr>
    </w:tbl>
    <w:p>
      <w:pPr>
        <w:spacing w:after="120" w:before="300"/>
      </w:pPr>
      <w:r>
        <w:rPr>
          <w:rFonts w:ascii="Palatino Linotype" w:cs="Palatino Linotype" w:eastAsia="Palatino Linotype" w:hAnsi="Palatino Linotype"/>
          <w:b/>
          <w:bCs/>
          <w:color w:val="C4A040"/>
          <w:spacing w:val="20"/>
          <w:sz w:val="20"/>
          <w:szCs w:val="20"/>
        </w:rPr>
        <w:t xml:space="preserve">CERTIFICADO DE AUTENTICIDAD</w:t>
      </w:r>
    </w:p>
    <w:p>
      <w:pPr>
        <w:spacing w:after="200"/>
        <w:jc w:val="both"/>
      </w:pPr>
      <w:r>
        <w:rPr>
          <w:rFonts w:ascii="Palatino Linotype" w:cs="Palatino Linotype" w:eastAsia="Palatino Linotype" w:hAnsi="Palatino Linotype"/>
          <w:color w:val="FFFFFF"/>
          <w:sz w:val="20"/>
          <w:szCs w:val="20"/>
        </w:rPr>
        <w:t xml:space="preserve">Se certifica que la obra descrita en esta ficha es una creación original de Adolfo Fareet Mondragón Echeverría, ejecutada en técnica de papiro sobre lienzo con acrílico y aplicación de oro, catalogada bajo la clave AFME-2026-008 dentro del Corpus AFME. La presente ficha forma parte de la documentación curatorial del Estudio de Arte y Galería Internacional Mondragón.</w:t>
      </w:r>
    </w:p>
    <w:p>
      <w:pPr>
        <w:spacing w:before="500"/>
      </w:pPr>
      <w:r>
        <w:rPr>
          <w:rFonts w:ascii="Palatino Linotype" w:cs="Palatino Linotype" w:eastAsia="Palatino Linotype" w:hAnsi="Palatino Linotype"/>
          <w:color w:val="C4A040"/>
          <w:sz w:val="18"/>
          <w:szCs w:val="18"/>
        </w:rPr>
        <w:t xml:space="preserve">_______________________________</w:t>
      </w:r>
    </w:p>
    <w:p>
      <w:r>
        <w:rPr>
          <w:rFonts w:ascii="Palatino Linotype" w:cs="Palatino Linotype" w:eastAsia="Palatino Linotype" w:hAnsi="Palatino Linotype"/>
          <w:color w:val="FFFFFF"/>
          <w:sz w:val="18"/>
          <w:szCs w:val="18"/>
        </w:rPr>
        <w:t xml:space="preserve">Adolfo Fareet Mondragón Echeverría</w:t>
      </w:r>
    </w:p>
    <w:p>
      <w:r>
        <w:rPr>
          <w:rFonts w:ascii="Palatino Linotype" w:cs="Palatino Linotype" w:eastAsia="Palatino Linotype" w:hAnsi="Palatino Linotype"/>
          <w:i/>
          <w:iCs/>
          <w:color w:val="C4A040"/>
          <w:sz w:val="16"/>
          <w:szCs w:val="16"/>
        </w:rPr>
        <w:t xml:space="preserve">Artista · Estudio de Arte y Galería Internacional Mondragón</w:t>
      </w:r>
    </w:p>
    <w:sectPr>
      <w:headerReference w:type="default" r:id="rId7"/>
      <w:footerReference w:type="default" r:id="rId8"/>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Palatino Linotype" w:cs="Palatino Linotype" w:eastAsia="Palatino Linotype" w:hAnsi="Palatino Linotype"/>
        <w:color w:val="C4A040"/>
        <w:sz w:val="14"/>
        <w:szCs w:val="14"/>
      </w:rPr>
      <w:t xml:space="preserve">Corpus AFME — Ficha Curatorial · </w:t>
    </w:r>
    <w:r>
      <w:rPr>
        <w:rFonts w:ascii="Palatino Linotype" w:cs="Palatino Linotype" w:eastAsia="Palatino Linotype" w:hAnsi="Palatino Linotype"/>
        <w:color w:val="C4A04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Palatino Linotype" w:cs="Palatino Linotype" w:eastAsia="Palatino Linotype" w:hAnsi="Palatino Linotype"/>
        <w:b/>
        <w:bCs/>
        <w:color w:val="C4A040"/>
        <w:spacing w:val="20"/>
        <w:sz w:val="16"/>
        <w:szCs w:val="16"/>
      </w:rPr>
      <w:t xml:space="preserve">ESTUDIO DE ARTE Y GALERÍA INTERNACIONAL MONDRAGÓN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161f283a5693bdb1cd7ccb437c70b0ccd8d3254.jp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2026-07-14T04:59:50.174Z</dcterms:created>
  <dcterms:modified xsi:type="dcterms:W3CDTF">2026-07-14T04:59:50.183Z</dcterms:modified>
</cp:coreProperties>
</file>

<file path=docProps/custom.xml><?xml version="1.0" encoding="utf-8"?>
<Properties xmlns="http://schemas.openxmlformats.org/officeDocument/2006/custom-properties" xmlns:vt="http://schemas.openxmlformats.org/officeDocument/2006/docPropsVTypes"/>
</file>